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</w:p>
    <w:p w:rsidR="00DA09CE" w:rsidRPr="00DA09CE" w:rsidRDefault="00DA09CE" w:rsidP="00DA09CE">
      <w:pPr>
        <w:jc w:val="both"/>
        <w:rPr>
          <w:rFonts w:ascii="Calibri" w:hAnsi="Calibri" w:cs="Calibri"/>
          <w:b/>
          <w:szCs w:val="20"/>
        </w:rPr>
      </w:pPr>
      <w:bookmarkStart w:id="0" w:name="_GoBack"/>
      <w:r w:rsidRPr="00DA09CE">
        <w:rPr>
          <w:rFonts w:ascii="Calibri" w:hAnsi="Calibri" w:cs="Calibri"/>
          <w:b/>
          <w:szCs w:val="20"/>
        </w:rPr>
        <w:t>129. SYNDROM DISEMINOVANÉ INTRAVASKULÁRNÍ KOAGULACE</w:t>
      </w:r>
    </w:p>
    <w:bookmarkEnd w:id="0"/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DIC – chorobný stav, u kterého dochází z různých příčin k narušení hemostatické rovnováhy a k rozvoji </w:t>
      </w:r>
      <w:r w:rsidRPr="00945281">
        <w:rPr>
          <w:rFonts w:ascii="Calibri" w:hAnsi="Calibri" w:cs="Calibri"/>
          <w:b/>
          <w:sz w:val="20"/>
          <w:szCs w:val="20"/>
        </w:rPr>
        <w:t>generalizované intravaskulární koagulace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vznik mnohočetných trombů v mikrocirkulaci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spotřeba části hemostatických činitelů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druhotně aktivovaná </w:t>
      </w:r>
      <w:r>
        <w:rPr>
          <w:rFonts w:ascii="Calibri" w:hAnsi="Calibri" w:cs="Calibri"/>
          <w:sz w:val="20"/>
          <w:szCs w:val="20"/>
        </w:rPr>
        <w:t>fibrin</w:t>
      </w:r>
      <w:r w:rsidRPr="00945281">
        <w:rPr>
          <w:rFonts w:ascii="Calibri" w:hAnsi="Calibri" w:cs="Calibri"/>
          <w:sz w:val="20"/>
          <w:szCs w:val="20"/>
        </w:rPr>
        <w:t>olýza rozpouští mikrotromby a dále sama prohlubuje vznikající krvácivý stav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DIC není samostatná chorobná jednotka, ale syndrom vznikající při jiném základním onemocnění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etiologie</w:t>
      </w:r>
      <w:r>
        <w:rPr>
          <w:rFonts w:ascii="Calibri" w:hAnsi="Calibri" w:cs="Calibri"/>
          <w:i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4542"/>
      </w:tblGrid>
      <w:tr w:rsidR="00DA09CE" w:rsidRPr="00945281" w:rsidTr="00D87C6D">
        <w:trPr>
          <w:jc w:val="center"/>
        </w:trPr>
        <w:tc>
          <w:tcPr>
            <w:tcW w:w="34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infekce (generalizované)</w:t>
            </w:r>
          </w:p>
        </w:tc>
        <w:tc>
          <w:tcPr>
            <w:tcW w:w="45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mikrobiální, zvl. G</w:t>
            </w:r>
            <w:r w:rsidRPr="00945281">
              <w:rPr>
                <w:rFonts w:ascii="Calibri" w:hAnsi="Calibri" w:cs="Calibri"/>
                <w:sz w:val="20"/>
                <w:szCs w:val="20"/>
                <w:vertAlign w:val="superscript"/>
              </w:rPr>
              <w:t>-</w:t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s endotoxémií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virové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rickettsiální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komplikace těhotenství a porodu</w:t>
            </w:r>
          </w:p>
        </w:tc>
        <w:tc>
          <w:tcPr>
            <w:tcW w:w="45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septický potrat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embolizace plodové vody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zadržený mrtvý plod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odloučení lůžka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eklampsie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zhoubná onemocnění</w:t>
            </w:r>
          </w:p>
        </w:tc>
        <w:tc>
          <w:tcPr>
            <w:tcW w:w="45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generalizované ca (plic, prostaty, GIT)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blastické leukózy, zvl. parapromyelocytární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chirurgické stavy</w:t>
            </w:r>
          </w:p>
        </w:tc>
        <w:tc>
          <w:tcPr>
            <w:tcW w:w="45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rozsáhlá poranění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popáleniny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velké operační výkony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použití mimotělního oběhu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imunopatologické stavy</w:t>
            </w:r>
          </w:p>
        </w:tc>
        <w:tc>
          <w:tcPr>
            <w:tcW w:w="45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anafylaktické reakce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hemolytické potransfuzní reakce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vaskulitidy</w:t>
            </w:r>
          </w:p>
        </w:tc>
      </w:tr>
      <w:tr w:rsidR="00DA09CE" w:rsidRPr="00945281" w:rsidTr="00D87C6D">
        <w:trPr>
          <w:jc w:val="center"/>
        </w:trPr>
        <w:tc>
          <w:tcPr>
            <w:tcW w:w="3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šokové stavy</w:t>
            </w:r>
          </w:p>
        </w:tc>
        <w:tc>
          <w:tcPr>
            <w:tcW w:w="4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09CE" w:rsidRPr="00945281" w:rsidRDefault="00DA09CE" w:rsidP="00D87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patogeneze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aktivace některého z hemostatických mechanismů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klíčové postavení v rozvoji DIC: </w:t>
      </w:r>
      <w:r w:rsidRPr="00945281">
        <w:rPr>
          <w:rFonts w:ascii="Calibri" w:hAnsi="Calibri" w:cs="Calibri"/>
          <w:b/>
          <w:sz w:val="20"/>
          <w:szCs w:val="20"/>
        </w:rPr>
        <w:t xml:space="preserve">uvolnění tkáňového faktoru </w:t>
      </w:r>
      <w:r w:rsidRPr="00945281">
        <w:rPr>
          <w:rFonts w:ascii="Calibri" w:hAnsi="Calibri" w:cs="Calibri"/>
          <w:sz w:val="20"/>
          <w:szCs w:val="20"/>
        </w:rPr>
        <w:t>z poškozeních tkání nebo jeho buněčná exprese v generalizovaných zánětlivých procesech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infekční činitelé – přímo nebo přes imunitní systém aktivují destičky nebo poškozují cévní stěnu a činí ji trombogenní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aktivace fibrinolytického systému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jeden z předpokladů rozvoje DIC: postupné selhání inhibičních hemostatických mechanismů a detoxikační kapacity organismu blokádou monocyto-makrofágového systému a poruchou jaterních funkcí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intravaskulární koagulace vede k mnohočetné mikrotrombotizaci ve tkáních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riziko ischémie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současná konzumpce destiček a části koagulačních faktorů (II, V, VIII, XIII, fibrinogenu), eliminace dalších aktivovaných koagulačních faktorů (IX, X, XI)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krvácivý stav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ischemická ložiska v orgánech mohou prokrvácet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druhotná fibrinolýza – odstraní destičková a fibrinová depozita, zajistí prokrvení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fibrinolýza ale štěpením fibrinogenu, f. V a f. VIII prohlubuje krvácivý stav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štěpné produkty fibrinu a fibrinogenu inhibují destičkové funkce a narušují přeměnu fibrinogenu na fibrin</w:t>
      </w:r>
    </w:p>
    <w:p w:rsidR="00DA09CE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kapacita organismu stabilizovat hemostatické poměry a kompenzovat vzniklé odchylky je značná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klinický obraz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pestrý a měnlivý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podílí se základní onemocnění a porucha hemostázy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porucha hemostázy může být patrná pouze v laboratorním nálezu (latentní fáze)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nebo jsou různě vyznačené krvácivé projevy (manifestní fáze)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lehké formy: petechie nebo krvácení v místě vpichů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těžší případy: na kůži tvorby rozsáhlých sugilací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často neztišitelná krvácení do sliznic, operačních ran, u žen metroragie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dramatický obraz pokud se přidají projevy orgánového ischemického postižení – akutní renální a jaterní selhání, insuficience nadledvin (Waterhouseův-Friderichsenův sy), symptomatologie postižení CNS</w:t>
      </w:r>
    </w:p>
    <w:p w:rsidR="00DA09CE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ab/>
      </w:r>
      <w:r w:rsidRPr="00945281">
        <w:rPr>
          <w:rFonts w:ascii="Calibri" w:hAnsi="Calibri" w:cs="Calibri"/>
          <w:sz w:val="20"/>
          <w:szCs w:val="20"/>
        </w:rPr>
        <w:t>velmi závažný je rozvoj šokové plíce</w:t>
      </w:r>
    </w:p>
    <w:p w:rsidR="00DA09CE" w:rsidRDefault="00DA09CE" w:rsidP="00DA09CE">
      <w:pPr>
        <w:jc w:val="both"/>
        <w:rPr>
          <w:rFonts w:ascii="Calibri" w:hAnsi="Calibri" w:cs="Calibri"/>
          <w:sz w:val="20"/>
          <w:szCs w:val="20"/>
        </w:rPr>
      </w:pP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laboratorní vyšetření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parakoagulační testy</w:t>
      </w:r>
      <w:r w:rsidRPr="00945281">
        <w:rPr>
          <w:rFonts w:ascii="Calibri" w:hAnsi="Calibri" w:cs="Calibri"/>
          <w:sz w:val="20"/>
          <w:szCs w:val="20"/>
        </w:rPr>
        <w:t xml:space="preserve"> – ethanolový gelifikační a protaminový precipitační test – průkaz přítomnosti </w:t>
      </w:r>
      <w:r w:rsidRPr="00945281">
        <w:rPr>
          <w:rFonts w:ascii="Calibri" w:hAnsi="Calibri" w:cs="Calibri"/>
          <w:b/>
          <w:sz w:val="20"/>
          <w:szCs w:val="20"/>
        </w:rPr>
        <w:t>solubilních komplexů</w:t>
      </w:r>
      <w:r w:rsidRPr="00945281">
        <w:rPr>
          <w:rFonts w:ascii="Calibri" w:hAnsi="Calibri" w:cs="Calibri"/>
          <w:sz w:val="20"/>
          <w:szCs w:val="20"/>
        </w:rPr>
        <w:t xml:space="preserve"> v krvi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pozitivita </w:t>
      </w:r>
      <w:r w:rsidRPr="00945281">
        <w:rPr>
          <w:rFonts w:ascii="Calibri" w:hAnsi="Calibri" w:cs="Calibri"/>
          <w:b/>
          <w:sz w:val="20"/>
          <w:szCs w:val="20"/>
        </w:rPr>
        <w:t>D-dimerů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úvodu přechodně zkrácení APTT (kompenzovaná fáze)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dalším průběhu prodloužení APTT, Quickova testu i trombinového času, pokles počtu trombocytů (fáze dekompenzace)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těžkých případech se krev stává zcela nesrážlivou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krevním obrazu mohou být známky anémie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nález schistocytů v nátěrech periferní krve svědčí pro podíl mikroangiopatické hemolytické anémie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diagnostika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klinický obraz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laboratorní nález – především průkaz solubilních komplexů a D-dimerů</w:t>
      </w:r>
    </w:p>
    <w:p w:rsidR="00DA09CE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dif. dg: primární hyperfibrinolýza, poruchy hemostázy u pokročilých jaterních onemocnění – testy na solubilní komplexy a D-dimery jsou negativní</w:t>
      </w:r>
    </w:p>
    <w:p w:rsidR="00DA09CE" w:rsidRDefault="00DA09CE" w:rsidP="00DA09CE">
      <w:pPr>
        <w:jc w:val="both"/>
        <w:rPr>
          <w:rFonts w:ascii="Calibri" w:hAnsi="Calibri" w:cs="Calibri"/>
          <w:i/>
          <w:sz w:val="20"/>
          <w:szCs w:val="20"/>
        </w:rPr>
      </w:pP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průběh a prognóza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závisejí na stupni poruchy a povaze základního onemocnění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zvládnutím základní choroby a intenzivní léčbou hemostatické poruchy lze dosáhnout trvalé úpravy i u závažných forem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jinak je prognóza nepříznivá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terapie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zaměřena na základní chorobný proces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heparin</w:t>
      </w:r>
      <w:r w:rsidRPr="00945281">
        <w:rPr>
          <w:rFonts w:ascii="Calibri" w:hAnsi="Calibri" w:cs="Calibri"/>
          <w:sz w:val="20"/>
          <w:szCs w:val="20"/>
        </w:rPr>
        <w:t xml:space="preserve"> – snaha o přerušení patogenetického řetězce – podmínkou účinnosti je zajištění dostatečné koncentrace antitrombinu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rozvoji krvácivých projevů substituce chybějících hemostatických činitelů – koncentráty destiček, zmrazená plazma, AT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lze použít i lyofilizované přípravky fibrinogenu a AT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účinné je podání koncentrátu proteinu C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dekompenzovaných forem podání aktivovaného f. VII</w:t>
      </w:r>
    </w:p>
    <w:p w:rsidR="00DA09CE" w:rsidRPr="00945281" w:rsidRDefault="00DA09CE" w:rsidP="00DA09C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laboratorně doložené hyperfibrinolýzy podávání antifibrinolytik</w:t>
      </w:r>
    </w:p>
    <w:p w:rsidR="00C70860" w:rsidRDefault="00DA09CE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CE"/>
    <w:rsid w:val="006E4D21"/>
    <w:rsid w:val="00CC7541"/>
    <w:rsid w:val="00D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2012-12-14T22:01:00Z</dcterms:created>
  <dcterms:modified xsi:type="dcterms:W3CDTF">2012-12-14T22:02:00Z</dcterms:modified>
</cp:coreProperties>
</file>